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w:t>
      </w:r>
      <w:proofErr w:type="spellStart"/>
      <w:r w:rsidRPr="005E3601">
        <w:rPr>
          <w:rFonts w:ascii="Arial" w:eastAsia="Times New Roman" w:hAnsi="Arial" w:cs="Arial"/>
          <w:color w:val="000000"/>
          <w:kern w:val="0"/>
          <w:sz w:val="20"/>
          <w:szCs w:val="20"/>
          <w:lang w:eastAsia="zh-TW"/>
          <w14:ligatures w14:val="none"/>
        </w:rPr>
        <w:t>Significant</w:t>
      </w:r>
      <w:proofErr w:type="spellEnd"/>
      <w:r w:rsidRPr="005E3601">
        <w:rPr>
          <w:rFonts w:ascii="Arial" w:eastAsia="Times New Roman" w:hAnsi="Arial" w:cs="Arial"/>
          <w:color w:val="000000"/>
          <w:kern w:val="0"/>
          <w:sz w:val="20"/>
          <w:szCs w:val="20"/>
          <w:lang w:eastAsia="zh-TW"/>
          <w14:ligatures w14:val="none"/>
        </w:rPr>
        <w:t xml:space="preserve"> </w:t>
      </w:r>
      <w:proofErr w:type="spellStart"/>
      <w:r w:rsidRPr="005E3601">
        <w:rPr>
          <w:rFonts w:ascii="Arial" w:eastAsia="Times New Roman" w:hAnsi="Arial" w:cs="Arial"/>
          <w:color w:val="000000"/>
          <w:kern w:val="0"/>
          <w:sz w:val="20"/>
          <w:szCs w:val="20"/>
          <w:lang w:eastAsia="zh-TW"/>
          <w14:ligatures w14:val="none"/>
        </w:rPr>
        <w:t>Harm</w:t>
      </w:r>
      <w:proofErr w:type="spellEnd"/>
      <w:r w:rsidRPr="005E3601">
        <w:rPr>
          <w:rFonts w:ascii="Arial" w:eastAsia="Times New Roman" w:hAnsi="Arial" w:cs="Arial"/>
          <w:color w:val="000000"/>
          <w:kern w:val="0"/>
          <w:sz w:val="20"/>
          <w:szCs w:val="20"/>
          <w:lang w:eastAsia="zh-TW"/>
          <w14:ligatures w14:val="none"/>
        </w:rPr>
        <w:t xml:space="preserve">”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BB1B60"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BB1B60"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BB1B60"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BB1B60"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BB1B60"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ustalenie wymagane w artykule 4 ustęp 4 Dyrektywy OOŚ (w formie określanej mianem „decyzji dotyczącej preselekcji” lub „decyzji </w:t>
      </w:r>
      <w:proofErr w:type="spellStart"/>
      <w:r w:rsidRPr="005E3601">
        <w:rPr>
          <w:rFonts w:ascii="Arial" w:eastAsia="Calibri" w:hAnsi="Arial" w:cs="Arial"/>
          <w:kern w:val="0"/>
          <w:lang w:eastAsia="pl-PL"/>
          <w14:ligatures w14:val="none"/>
        </w:rPr>
        <w:t>screeningowej</w:t>
      </w:r>
      <w:proofErr w:type="spellEnd"/>
      <w:r w:rsidRPr="005E3601">
        <w:rPr>
          <w:rFonts w:ascii="Arial" w:eastAsia="Calibri" w:hAnsi="Arial" w:cs="Arial"/>
          <w:kern w:val="0"/>
          <w:lang w:eastAsia="pl-PL"/>
          <w14:ligatures w14:val="none"/>
        </w:rPr>
        <w:t>”);</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BB1B60"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BB1B60"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 xml:space="preserve">zrównoważone użytkowanie gruntów i gospodarowanie nimi, w tym odpowiednią ochronę bioróżnorodności gleby, neutralność degradacji gruntów i </w:t>
      </w:r>
      <w:proofErr w:type="spellStart"/>
      <w:r w:rsidRPr="005E3601">
        <w:rPr>
          <w:rFonts w:ascii="Arial" w:eastAsia="Calibri" w:hAnsi="Arial" w:cs="Arial"/>
          <w:bCs/>
          <w:kern w:val="0"/>
          <w14:ligatures w14:val="none"/>
        </w:rPr>
        <w:t>remediację</w:t>
      </w:r>
      <w:proofErr w:type="spellEnd"/>
      <w:r w:rsidRPr="005E3601">
        <w:rPr>
          <w:rFonts w:ascii="Arial" w:eastAsia="Calibri" w:hAnsi="Arial" w:cs="Arial"/>
          <w:bCs/>
          <w:kern w:val="0"/>
          <w14:ligatures w14:val="none"/>
        </w:rPr>
        <w:t xml:space="preserve">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w:t>
      </w:r>
      <w:proofErr w:type="spellStart"/>
      <w:r w:rsidRPr="005E3601">
        <w:rPr>
          <w:rFonts w:ascii="Arial" w:eastAsia="Calibri" w:hAnsi="Arial" w:cs="Arial"/>
          <w:i/>
          <w:iCs/>
          <w:kern w:val="0"/>
          <w:sz w:val="20"/>
          <w:szCs w:val="20"/>
          <w14:ligatures w14:val="none"/>
        </w:rPr>
        <w:t>i</w:t>
      </w:r>
      <w:proofErr w:type="spellEnd"/>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footerReference w:type="default" r:id="rId8"/>
      <w:headerReference w:type="first" r:id="rId9"/>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364A184A" w:rsidR="00B03637" w:rsidRDefault="00BB1B60">
    <w:pPr>
      <w:pStyle w:val="Nagwek"/>
    </w:pPr>
    <w:r w:rsidRPr="00FD75EC">
      <w:rPr>
        <w:rFonts w:ascii="Arial" w:hAnsi="Arial" w:cs="Arial"/>
        <w:noProof/>
        <w:sz w:val="24"/>
        <w:szCs w:val="24"/>
      </w:rPr>
      <w:drawing>
        <wp:inline distT="0" distB="0" distL="0" distR="0" wp14:anchorId="53929B75" wp14:editId="5D31FAD6">
          <wp:extent cx="5759450" cy="779608"/>
          <wp:effectExtent l="0" t="0" r="0" b="1905"/>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073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06C"/>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1B60"/>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Chraboł Magdalena</cp:lastModifiedBy>
  <cp:revision>9</cp:revision>
  <cp:lastPrinted>2023-05-17T12:41:00Z</cp:lastPrinted>
  <dcterms:created xsi:type="dcterms:W3CDTF">2023-06-28T07:40:00Z</dcterms:created>
  <dcterms:modified xsi:type="dcterms:W3CDTF">2024-11-12T10:42:00Z</dcterms:modified>
</cp:coreProperties>
</file>